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  <w:t xml:space="preserve">Per realizzazione di investimenti in amministrazione diretta nei limiti previsti dal Bando le spese preventivate vanno calcolate nel seguente modo:</w:t>
      </w:r>
    </w:p>
    <w:p w:rsidR="00000000" w:rsidDel="00000000" w:rsidP="00000000" w:rsidRDefault="00000000" w:rsidRPr="00000000" w14:paraId="00000002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b w:val="1"/>
          <w:rtl w:val="0"/>
        </w:rPr>
        <w:t xml:space="preserve">per gli investimenti già realizzati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rtl w:val="0"/>
        </w:rPr>
        <w:t xml:space="preserve">Caricare computi metrici preventivi desunti dal prezzario regionale di cui all’Allegato A 1, Bando 4.1.1 (DD n. 11417 del 03/11/2017, S.O. n. 4 al BUR n. 48 del 8 novembre 2017) </w:t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b w:val="1"/>
          <w:rtl w:val="0"/>
        </w:rPr>
        <w:t xml:space="preserve">per gli investimenti ancora non realizzati; </w:t>
      </w:r>
      <w:r w:rsidDel="00000000" w:rsidR="00000000" w:rsidRPr="00000000">
        <w:rPr>
          <w:rtl w:val="0"/>
        </w:rPr>
        <w:t xml:space="preserve">Caricare computi metrici preventivi desunti dal preziario regionale per per le edili 2022 </w:t>
      </w:r>
      <w:r w:rsidDel="00000000" w:rsidR="00000000" w:rsidRPr="00000000">
        <w:rPr>
          <w:rtl w:val="0"/>
        </w:rPr>
        <w:t xml:space="preserve">decurtati dell’utile d’impresa </w:t>
      </w:r>
      <w:r w:rsidDel="00000000" w:rsidR="00000000" w:rsidRPr="00000000">
        <w:rPr>
          <w:rtl w:val="0"/>
        </w:rPr>
        <w:t xml:space="preserve">ovvero il calcolo della spesa prevista  nei limiti  di cui alla Determinazione dirigenziale n. 5580 del 2/6/2022.</w:t>
      </w:r>
    </w:p>
    <w:p w:rsidR="00000000" w:rsidDel="00000000" w:rsidP="00000000" w:rsidRDefault="00000000" w:rsidRPr="00000000" w14:paraId="00000004">
      <w:pPr>
        <w:widowControl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/>
      </w:pPr>
      <w:r w:rsidDel="00000000" w:rsidR="00000000" w:rsidRPr="00000000">
        <w:rPr>
          <w:rtl w:val="0"/>
        </w:rPr>
        <w:t xml:space="preserve">Denominazione File: INV. Amministraz.Diretta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